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185 vom 30. August 2010</w:t>
      </w:r>
    </w:p>
    <w:p>
      <w:r>
        <w:t>GR Gerichte, 2010-08-30, DE</w:t>
      </w:r>
    </w:p>
    <w:p>
      <w:r>
        <w:rPr>
          <w:b/>
        </w:rPr>
        <w:t xml:space="preserve">Quelle: </w:t>
      </w:r>
      <w:r>
        <w:t>https://mcp.opencaselaw.ch/entscheid/gr_gerichte_S 2009 185</w:t>
      </w:r>
    </w:p>
    <w:p>
      <w:r>
        <w:t>FR: GR_GERICHTE S 2009 185 du 30 août 2010</w:t>
      </w:r>
    </w:p>
    <w:p>
      <w:r>
        <w:t>IT: GR_GERICHTE S 2009 185 del 30 agosto 2010</w:t>
      </w:r>
    </w:p>
    <w:p>
      <w:pPr>
        <w:pStyle w:val="Heading2"/>
      </w:pPr>
      <w:r>
        <w:t>Regeste</w:t>
      </w:r>
    </w:p>
    <w:p>
      <w:r>
        <w:t>Versicherungsleistungen nach UVG | Unfallversicherung</w:t>
      </w:r>
    </w:p>
    <w:p>
      <w:pPr>
        <w:pStyle w:val="Heading2"/>
      </w:pPr>
      <w:r>
        <w:t>Erwägungen</w:t>
      </w:r>
    </w:p>
    <w:p>
      <w:r>
        <w:rPr>
          <w:b/>
        </w:rPr>
        <w:t>E. 4</w:t>
      </w:r>
    </w:p>
    <w:p>
      <w:r>
        <w:t>a) Der angefochtene Einspracheentscheid vom 26.10.2009 erweist sich damit als rechtmässig, was zur Abweisung der Beschwerde vom 30.11.2009 führt, soweit darauf überhaupt eingetreten werden kann (vgl. vorne E. 1). b) Gerichtskosten werden nicht erhoben, da das kantonale Beschwerdeverfahren laut Art. 61 lit. a ATSG – ausser hier nicht zutreffender Ausnahmen – grundsätzlich kostenlos ist. Eine aussergerichtliche Entschädigung steht der Vorinstanz nicht zu (Umkehrschluss aus Art. 61 lit. g ATSG).</w:t>
      </w:r>
    </w:p>
    <w:p>
      <w:r>
        <w:t>Demnach erkennt das Gericht: 1. Die Beschwerde wird abgewiesen, soweit darauf eingetreten werden kann.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